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BA" w:rsidRPr="003844CF" w:rsidRDefault="003844CF" w:rsidP="003844CF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844CF">
        <w:rPr>
          <w:rFonts w:ascii="標楷體" w:eastAsia="標楷體" w:hAnsi="標楷體" w:hint="eastAsia"/>
          <w:sz w:val="28"/>
          <w:szCs w:val="28"/>
        </w:rPr>
        <w:t>《三國演義》，全名為《三國志通俗演義》，中國第一部長篇歷史章回小說。作者一般被認為是元末明初的羅貫中虛實結合，曲盡其妙。</w:t>
      </w:r>
    </w:p>
    <w:p w:rsidR="003844CF" w:rsidRPr="003844CF" w:rsidRDefault="003844CF" w:rsidP="003844CF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3844CF">
        <w:rPr>
          <w:rFonts w:ascii="標楷體" w:eastAsia="標楷體" w:hAnsi="標楷體" w:hint="eastAsia"/>
          <w:sz w:val="28"/>
          <w:szCs w:val="28"/>
        </w:rPr>
        <w:t>《三國演義》精於塑造人物形象，能通過敘述人物的行動和舉止，來反映他們的獨特個性。三國人物如孔明、劉備、曹操、關羽等早已深入民心，性格突出，全賴羅貫中繪</w:t>
      </w:r>
      <w:proofErr w:type="gramStart"/>
      <w:r w:rsidRPr="003844CF">
        <w:rPr>
          <w:rFonts w:ascii="標楷體" w:eastAsia="標楷體" w:hAnsi="標楷體" w:hint="eastAsia"/>
          <w:sz w:val="28"/>
          <w:szCs w:val="28"/>
        </w:rPr>
        <w:t>形繪聲和</w:t>
      </w:r>
      <w:proofErr w:type="gramEnd"/>
      <w:r w:rsidRPr="003844CF">
        <w:rPr>
          <w:rFonts w:ascii="標楷體" w:eastAsia="標楷體" w:hAnsi="標楷體" w:hint="eastAsia"/>
          <w:sz w:val="28"/>
          <w:szCs w:val="28"/>
        </w:rPr>
        <w:t>生動逼真的描寫，令讀者如見其人，如聞其聲。</w:t>
      </w:r>
    </w:p>
    <w:p w:rsidR="003844CF" w:rsidRPr="003844CF" w:rsidRDefault="003844CF" w:rsidP="003844CF">
      <w:pPr>
        <w:jc w:val="both"/>
        <w:rPr>
          <w:rFonts w:ascii="標楷體" w:eastAsia="標楷體" w:hAnsi="標楷體"/>
          <w:sz w:val="28"/>
          <w:szCs w:val="28"/>
        </w:rPr>
      </w:pPr>
    </w:p>
    <w:p w:rsidR="003844CF" w:rsidRPr="003844CF" w:rsidRDefault="003844CF" w:rsidP="003844CF">
      <w:pPr>
        <w:jc w:val="both"/>
        <w:rPr>
          <w:rFonts w:ascii="標楷體" w:eastAsia="標楷體" w:hAnsi="標楷體"/>
          <w:sz w:val="28"/>
          <w:szCs w:val="28"/>
        </w:rPr>
      </w:pPr>
      <w:r w:rsidRPr="003844CF">
        <w:rPr>
          <w:rFonts w:ascii="標楷體" w:eastAsia="標楷體" w:hAnsi="標楷體" w:hint="eastAsia"/>
          <w:sz w:val="28"/>
          <w:szCs w:val="28"/>
        </w:rPr>
        <w:t>三國演義善於描寫戰爭場面和政治鬥爭，書中敍事有聲有色，尤其善於描述各大小戰事，變化莫測，使人驚心動魄，有親歷其境之妙。</w:t>
      </w:r>
    </w:p>
    <w:p w:rsidR="003844CF" w:rsidRPr="003844CF" w:rsidRDefault="003844CF" w:rsidP="003844CF">
      <w:pPr>
        <w:jc w:val="both"/>
        <w:rPr>
          <w:rFonts w:ascii="標楷體" w:eastAsia="標楷體" w:hAnsi="標楷體"/>
          <w:sz w:val="28"/>
          <w:szCs w:val="28"/>
        </w:rPr>
      </w:pPr>
    </w:p>
    <w:p w:rsidR="003844CF" w:rsidRPr="003844CF" w:rsidRDefault="003844CF" w:rsidP="003844CF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3844CF">
        <w:rPr>
          <w:rFonts w:ascii="標楷體" w:eastAsia="標楷體" w:hAnsi="標楷體" w:hint="eastAsia"/>
          <w:sz w:val="28"/>
          <w:szCs w:val="28"/>
        </w:rPr>
        <w:t>三國演義結構宏偉緊密，全書人物</w:t>
      </w:r>
      <w:proofErr w:type="gramStart"/>
      <w:r w:rsidRPr="003844CF">
        <w:rPr>
          <w:rFonts w:ascii="標楷體" w:eastAsia="標楷體" w:hAnsi="標楷體" w:hint="eastAsia"/>
          <w:sz w:val="28"/>
          <w:szCs w:val="28"/>
        </w:rPr>
        <w:t>眾多，</w:t>
      </w:r>
      <w:proofErr w:type="gramEnd"/>
      <w:r w:rsidRPr="003844CF">
        <w:rPr>
          <w:rFonts w:ascii="標楷體" w:eastAsia="標楷體" w:hAnsi="標楷體" w:hint="eastAsia"/>
          <w:sz w:val="28"/>
          <w:szCs w:val="28"/>
        </w:rPr>
        <w:t>頭緒紛繁，情節複雜，惟作者能以蜀漢為中心，抓緊</w:t>
      </w:r>
      <w:proofErr w:type="gramStart"/>
      <w:r w:rsidRPr="003844CF">
        <w:rPr>
          <w:rFonts w:ascii="標楷體" w:eastAsia="標楷體" w:hAnsi="標楷體" w:hint="eastAsia"/>
          <w:sz w:val="28"/>
          <w:szCs w:val="28"/>
        </w:rPr>
        <w:t>魏蜀吳三國間的</w:t>
      </w:r>
      <w:proofErr w:type="gramEnd"/>
      <w:r w:rsidRPr="003844CF">
        <w:rPr>
          <w:rFonts w:ascii="標楷體" w:eastAsia="標楷體" w:hAnsi="標楷體" w:hint="eastAsia"/>
          <w:sz w:val="28"/>
          <w:szCs w:val="28"/>
        </w:rPr>
        <w:t>衝突矛盾，寫來井井有條，脈絡</w:t>
      </w:r>
      <w:proofErr w:type="gramStart"/>
      <w:r w:rsidRPr="003844CF">
        <w:rPr>
          <w:rFonts w:ascii="標楷體" w:eastAsia="標楷體" w:hAnsi="標楷體" w:hint="eastAsia"/>
          <w:sz w:val="28"/>
          <w:szCs w:val="28"/>
        </w:rPr>
        <w:t>清晰，</w:t>
      </w:r>
      <w:proofErr w:type="gramEnd"/>
      <w:r w:rsidRPr="003844CF">
        <w:rPr>
          <w:rFonts w:ascii="標楷體" w:eastAsia="標楷體" w:hAnsi="標楷體" w:hint="eastAsia"/>
          <w:sz w:val="28"/>
          <w:szCs w:val="28"/>
        </w:rPr>
        <w:t>規模宏大。</w:t>
      </w:r>
    </w:p>
    <w:p w:rsidR="003844CF" w:rsidRPr="003844CF" w:rsidRDefault="003844CF" w:rsidP="003844CF">
      <w:pPr>
        <w:jc w:val="both"/>
        <w:rPr>
          <w:rFonts w:ascii="標楷體" w:eastAsia="標楷體" w:hAnsi="標楷體"/>
          <w:sz w:val="28"/>
          <w:szCs w:val="28"/>
        </w:rPr>
      </w:pPr>
    </w:p>
    <w:p w:rsidR="003844CF" w:rsidRPr="003844CF" w:rsidRDefault="003844CF" w:rsidP="003844CF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3844CF">
        <w:rPr>
          <w:rFonts w:ascii="標楷體" w:eastAsia="標楷體" w:hAnsi="標楷體" w:hint="eastAsia"/>
          <w:sz w:val="28"/>
          <w:szCs w:val="28"/>
        </w:rPr>
        <w:t>三國演義語言</w:t>
      </w:r>
      <w:proofErr w:type="gramStart"/>
      <w:r w:rsidRPr="003844CF">
        <w:rPr>
          <w:rFonts w:ascii="標楷體" w:eastAsia="標楷體" w:hAnsi="標楷體" w:hint="eastAsia"/>
          <w:sz w:val="28"/>
          <w:szCs w:val="28"/>
        </w:rPr>
        <w:t>方面夾用文言</w:t>
      </w:r>
      <w:proofErr w:type="gramEnd"/>
      <w:r w:rsidRPr="003844CF">
        <w:rPr>
          <w:rFonts w:ascii="標楷體" w:eastAsia="標楷體" w:hAnsi="標楷體" w:hint="eastAsia"/>
          <w:sz w:val="28"/>
          <w:szCs w:val="28"/>
        </w:rPr>
        <w:t>白話，明快生動，既吸收古代文言的精華，亦加以適當的通俗化，故能「文不甚深，言</w:t>
      </w:r>
      <w:proofErr w:type="gramStart"/>
      <w:r w:rsidRPr="003844CF">
        <w:rPr>
          <w:rFonts w:ascii="標楷體" w:eastAsia="標楷體" w:hAnsi="標楷體" w:hint="eastAsia"/>
          <w:sz w:val="28"/>
          <w:szCs w:val="28"/>
        </w:rPr>
        <w:t>不甚俗</w:t>
      </w:r>
      <w:proofErr w:type="gramEnd"/>
      <w:r w:rsidRPr="003844CF">
        <w:rPr>
          <w:rFonts w:ascii="標楷體" w:eastAsia="標楷體" w:hAnsi="標楷體" w:hint="eastAsia"/>
          <w:sz w:val="28"/>
          <w:szCs w:val="28"/>
        </w:rPr>
        <w:t>」，收雅俗共賞之藝術效果。</w:t>
      </w:r>
    </w:p>
    <w:sectPr w:rsidR="003844CF" w:rsidRPr="003844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CF"/>
    <w:rsid w:val="003844CF"/>
    <w:rsid w:val="00E6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A59C"/>
  <w15:chartTrackingRefBased/>
  <w15:docId w15:val="{FFD2BC60-77AD-45F8-9930-96EDA056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2015-11-24T07:20:00Z</dcterms:created>
  <dcterms:modified xsi:type="dcterms:W3CDTF">2015-11-24T07:24:00Z</dcterms:modified>
</cp:coreProperties>
</file>